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41" w:rsidRDefault="00A40941" w:rsidP="00A40941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BEFORE THE IDAHO PUBLIC UTILITIES COMMISSION</w:t>
      </w:r>
    </w:p>
    <w:p w:rsidR="00A40941" w:rsidRDefault="00A40941" w:rsidP="00A4094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40941" w:rsidRDefault="00A40941" w:rsidP="00A40941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IN THE MATTER OF DIAMOND BAR</w:t>
      </w:r>
      <w:r>
        <w:rPr>
          <w:rFonts w:ascii="Times New Roman" w:hAnsi="Times New Roman" w:cs="Times New Roman"/>
          <w:sz w:val="27"/>
          <w:szCs w:val="27"/>
        </w:rPr>
        <w:t>)</w:t>
      </w:r>
    </w:p>
    <w:p w:rsidR="00A40941" w:rsidRDefault="00A40941" w:rsidP="00A4094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ESTATES WATER COMPANY’S</w:t>
      </w:r>
      <w:r>
        <w:rPr>
          <w:rFonts w:ascii="Times New Roman" w:hAnsi="Times New Roman" w:cs="Times New Roman"/>
          <w:sz w:val="27"/>
          <w:szCs w:val="27"/>
        </w:rPr>
        <w:t xml:space="preserve">)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4"/>
          <w:szCs w:val="24"/>
        </w:rPr>
        <w:t>CASE NO. DIA-W-15-O1</w:t>
      </w:r>
    </w:p>
    <w:p w:rsidR="00A40941" w:rsidRDefault="00A40941" w:rsidP="00A40941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APPLICATION FOR AUTHORITY TO</w:t>
      </w:r>
      <w:r>
        <w:rPr>
          <w:rFonts w:ascii="Times New Roman" w:hAnsi="Times New Roman" w:cs="Times New Roman"/>
          <w:sz w:val="27"/>
          <w:szCs w:val="27"/>
        </w:rPr>
        <w:t>)</w:t>
      </w:r>
    </w:p>
    <w:p w:rsidR="00A40941" w:rsidRDefault="00A40941" w:rsidP="00A40941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INCREASE ITS RATES AND CHARGES FOR</w:t>
      </w:r>
      <w:r>
        <w:rPr>
          <w:rFonts w:ascii="Times New Roman" w:hAnsi="Times New Roman" w:cs="Times New Roman"/>
          <w:sz w:val="27"/>
          <w:szCs w:val="27"/>
        </w:rPr>
        <w:t>)</w:t>
      </w:r>
    </w:p>
    <w:p w:rsidR="00A40941" w:rsidRDefault="00A40941" w:rsidP="00A4094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SERVICE IN THE STATE OF</w:t>
      </w:r>
      <w:r>
        <w:rPr>
          <w:rFonts w:ascii="Times New Roman" w:hAnsi="Times New Roman" w:cs="Times New Roman"/>
          <w:sz w:val="27"/>
          <w:szCs w:val="27"/>
        </w:rPr>
        <w:t xml:space="preserve">)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4"/>
          <w:szCs w:val="24"/>
        </w:rPr>
        <w:t>ORDER NO. 33547</w:t>
      </w:r>
    </w:p>
    <w:p w:rsidR="0079795F" w:rsidRDefault="00A40941" w:rsidP="00A4094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IDAHO</w:t>
      </w:r>
      <w:r>
        <w:rPr>
          <w:rFonts w:ascii="Times New Roman" w:hAnsi="Times New Roman" w:cs="Times New Roman"/>
          <w:sz w:val="27"/>
          <w:szCs w:val="27"/>
        </w:rPr>
        <w:t>)</w:t>
      </w:r>
    </w:p>
    <w:p w:rsidR="00A40941" w:rsidRDefault="00A40941" w:rsidP="00A40941">
      <w:pPr>
        <w:rPr>
          <w:rFonts w:ascii="Times New Roman" w:hAnsi="Times New Roman" w:cs="Times New Roman"/>
          <w:sz w:val="27"/>
          <w:szCs w:val="27"/>
        </w:rPr>
      </w:pPr>
    </w:p>
    <w:p w:rsidR="00A40941" w:rsidRDefault="00A40941" w:rsidP="00A4094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Diamond Bar Estates Water Company (the Company) has the following response to </w:t>
      </w:r>
    </w:p>
    <w:p w:rsidR="00A40941" w:rsidRDefault="00A40941" w:rsidP="00A4094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The Commission and other comments received in this case.</w:t>
      </w:r>
    </w:p>
    <w:p w:rsidR="00A40941" w:rsidRDefault="00A40941" w:rsidP="00A40941">
      <w:pPr>
        <w:rPr>
          <w:rFonts w:ascii="Times New Roman" w:hAnsi="Times New Roman" w:cs="Times New Roman"/>
          <w:sz w:val="27"/>
          <w:szCs w:val="27"/>
        </w:rPr>
      </w:pPr>
    </w:p>
    <w:p w:rsidR="00A40941" w:rsidRPr="00615D55" w:rsidRDefault="003279EF" w:rsidP="00615D55">
      <w:pPr>
        <w:jc w:val="both"/>
        <w:rPr>
          <w:b/>
          <w:bCs/>
        </w:rPr>
      </w:pPr>
      <w:r w:rsidRPr="00615D55">
        <w:rPr>
          <w:rFonts w:ascii="Times New Roman" w:eastAsia="Times New Roman" w:hAnsi="Times New Roman" w:cs="Times New Roman"/>
          <w:sz w:val="14"/>
          <w:szCs w:val="14"/>
        </w:rPr>
        <w:t>1.</w:t>
      </w:r>
      <w:r w:rsidRPr="00615D55">
        <w:rPr>
          <w:rFonts w:ascii="Times New Roman" w:hAnsi="Times New Roman"/>
          <w:sz w:val="14"/>
          <w:szCs w:val="14"/>
        </w:rPr>
        <w:tab/>
        <w:t xml:space="preserve"> </w:t>
      </w:r>
      <w:r w:rsidR="00A40941">
        <w:t xml:space="preserve">The </w:t>
      </w:r>
      <w:r w:rsidR="00012954">
        <w:t>Company nor its Contractor</w:t>
      </w:r>
      <w:r>
        <w:t>, United Crown Pump and Drilling (UCPD)</w:t>
      </w:r>
      <w:r w:rsidR="00B21333">
        <w:t xml:space="preserve"> was not contacted by </w:t>
      </w:r>
      <w:r w:rsidR="00615D55">
        <w:t xml:space="preserve">         </w:t>
      </w:r>
      <w:r w:rsidR="00B21333">
        <w:t>Kootenai Electric regarding</w:t>
      </w:r>
      <w:r w:rsidR="00A40941">
        <w:t xml:space="preserve"> changing from a full voltage non-reversing starter (FVNR) to a soft start</w:t>
      </w:r>
      <w:r w:rsidR="00B21333">
        <w:t>.  It was brought to the Company’s and the Contractor’s</w:t>
      </w:r>
      <w:r>
        <w:t xml:space="preserve"> (UCPD)</w:t>
      </w:r>
      <w:r w:rsidR="00B21333">
        <w:t xml:space="preserve"> attention through the AEI Engineer Observation Report</w:t>
      </w:r>
      <w:r w:rsidR="00A40941">
        <w:t xml:space="preserve"> dated September 23</w:t>
      </w:r>
      <w:r w:rsidR="00A40941" w:rsidRPr="00615D55">
        <w:rPr>
          <w:vertAlign w:val="superscript"/>
        </w:rPr>
        <w:t>rd</w:t>
      </w:r>
      <w:r w:rsidR="00A40941">
        <w:t>, 2015</w:t>
      </w:r>
      <w:r>
        <w:t>. The report</w:t>
      </w:r>
      <w:r w:rsidR="00B21333">
        <w:t xml:space="preserve"> stated</w:t>
      </w:r>
      <w:r w:rsidR="00A40941">
        <w:t xml:space="preserve"> changing this component as</w:t>
      </w:r>
      <w:r w:rsidR="00B21333">
        <w:t xml:space="preserve"> a</w:t>
      </w:r>
      <w:r w:rsidR="00A40941">
        <w:t xml:space="preserve"> “</w:t>
      </w:r>
      <w:r w:rsidR="00B21333">
        <w:t>Recommended</w:t>
      </w:r>
      <w:r w:rsidR="00A40941">
        <w:t xml:space="preserve"> action</w:t>
      </w:r>
      <w:r w:rsidR="00B21333">
        <w:t>”</w:t>
      </w:r>
      <w:r w:rsidR="00A40941">
        <w:t xml:space="preserve"> </w:t>
      </w:r>
      <w:r>
        <w:t>not as a requirement.</w:t>
      </w:r>
      <w:r w:rsidR="00231497" w:rsidRPr="00231497">
        <w:t xml:space="preserve"> </w:t>
      </w:r>
      <w:r w:rsidR="00231497">
        <w:t>The original FVNR was approved and operational and the transform</w:t>
      </w:r>
      <w:r w:rsidR="00231497">
        <w:t>ers were sized by KEC for the</w:t>
      </w:r>
      <w:r w:rsidR="00231497">
        <w:t xml:space="preserve"> </w:t>
      </w:r>
      <w:r w:rsidR="00231497">
        <w:t xml:space="preserve">intended load(s). </w:t>
      </w:r>
      <w:r>
        <w:t xml:space="preserve">  </w:t>
      </w:r>
      <w:r w:rsidR="00A40941">
        <w:t>KEC’s on-site testing confirmed th</w:t>
      </w:r>
      <w:r w:rsidR="00231497">
        <w:t xml:space="preserve">at </w:t>
      </w:r>
      <w:r w:rsidR="00A40941">
        <w:t>the original transformers were able to handle the load of the pumps and motors that were operating at that time.</w:t>
      </w:r>
    </w:p>
    <w:p w:rsidR="00A40941" w:rsidRDefault="003279EF" w:rsidP="00231497">
      <w:pPr>
        <w:pStyle w:val="ListParagraph"/>
        <w:ind w:left="360"/>
        <w:jc w:val="both"/>
      </w:pPr>
      <w:r>
        <w:t xml:space="preserve">       </w:t>
      </w:r>
      <w:r w:rsidR="00A40941">
        <w:t>While a soft starter would have changed the power demand, it would not have affected the damage that occurred.</w:t>
      </w:r>
    </w:p>
    <w:p w:rsidR="003279EF" w:rsidRDefault="003279EF" w:rsidP="00B21333">
      <w:pPr>
        <w:pStyle w:val="ListParagraph"/>
        <w:ind w:hanging="360"/>
        <w:jc w:val="both"/>
      </w:pPr>
    </w:p>
    <w:p w:rsidR="003279EF" w:rsidRDefault="003279EF" w:rsidP="00615D55">
      <w:pPr>
        <w:jc w:val="both"/>
        <w:rPr>
          <w:bCs/>
        </w:rPr>
      </w:pPr>
      <w:r w:rsidRPr="00615D55">
        <w:rPr>
          <w:bCs/>
        </w:rPr>
        <w:t>2.</w:t>
      </w:r>
      <w:r w:rsidRPr="00615D55">
        <w:rPr>
          <w:bCs/>
        </w:rPr>
        <w:tab/>
        <w:t>The failure</w:t>
      </w:r>
      <w:r w:rsidR="00231497" w:rsidRPr="00615D55">
        <w:rPr>
          <w:bCs/>
        </w:rPr>
        <w:t>s</w:t>
      </w:r>
      <w:r w:rsidRPr="00615D55">
        <w:rPr>
          <w:bCs/>
        </w:rPr>
        <w:t xml:space="preserve"> occurred while the motor was running, so it the Company’s</w:t>
      </w:r>
      <w:r w:rsidR="00231497" w:rsidRPr="00615D55">
        <w:rPr>
          <w:bCs/>
        </w:rPr>
        <w:t xml:space="preserve"> and the Contractor’s</w:t>
      </w:r>
      <w:r w:rsidRPr="00615D55">
        <w:rPr>
          <w:bCs/>
        </w:rPr>
        <w:t xml:space="preserve"> belief </w:t>
      </w:r>
      <w:r w:rsidR="00231497" w:rsidRPr="00615D55">
        <w:rPr>
          <w:bCs/>
        </w:rPr>
        <w:t>a Soft Starter would not have prevented motor failure.</w:t>
      </w:r>
    </w:p>
    <w:p w:rsidR="00615D55" w:rsidRDefault="00615D55" w:rsidP="00615D55">
      <w:pPr>
        <w:jc w:val="both"/>
        <w:rPr>
          <w:bCs/>
        </w:rPr>
      </w:pPr>
    </w:p>
    <w:p w:rsidR="006C0A25" w:rsidRDefault="00615D55" w:rsidP="00615D55">
      <w:pPr>
        <w:jc w:val="both"/>
        <w:rPr>
          <w:bCs/>
        </w:rPr>
      </w:pPr>
      <w:r>
        <w:rPr>
          <w:bCs/>
        </w:rPr>
        <w:t xml:space="preserve">3. </w:t>
      </w:r>
      <w:r>
        <w:rPr>
          <w:bCs/>
        </w:rPr>
        <w:tab/>
      </w:r>
      <w:r w:rsidR="00187F60">
        <w:rPr>
          <w:bCs/>
        </w:rPr>
        <w:t>The Company nor the Contractor informed KEC of the increase in motor size from 50hp to 60hp, however, t</w:t>
      </w:r>
      <w:r w:rsidR="006C0A25">
        <w:rPr>
          <w:bCs/>
        </w:rPr>
        <w:t>heir own monitoring report reflects the original transformers were handling the load.  See attached Exhibit 1</w:t>
      </w:r>
    </w:p>
    <w:p w:rsidR="006C0A25" w:rsidRDefault="006C0A25" w:rsidP="00615D55">
      <w:pPr>
        <w:jc w:val="both"/>
        <w:rPr>
          <w:bCs/>
        </w:rPr>
      </w:pPr>
    </w:p>
    <w:p w:rsidR="00615D55" w:rsidRDefault="006C0A25" w:rsidP="00615D55">
      <w:pPr>
        <w:jc w:val="both"/>
        <w:rPr>
          <w:bCs/>
        </w:rPr>
      </w:pPr>
      <w:r>
        <w:rPr>
          <w:bCs/>
        </w:rPr>
        <w:t>4.</w:t>
      </w:r>
      <w:r w:rsidR="00472FC3">
        <w:rPr>
          <w:bCs/>
        </w:rPr>
        <w:tab/>
        <w:t>Yes, our Contractor (UCPD) is a fully licensed and bonded electrical contractor in ID and WA who specializes in pump systems and controls.</w:t>
      </w:r>
      <w:r>
        <w:rPr>
          <w:bCs/>
        </w:rPr>
        <w:t xml:space="preserve"> </w:t>
      </w:r>
    </w:p>
    <w:p w:rsidR="00472FC3" w:rsidRDefault="00472FC3" w:rsidP="00615D55">
      <w:pPr>
        <w:jc w:val="both"/>
        <w:rPr>
          <w:bCs/>
        </w:rPr>
      </w:pPr>
    </w:p>
    <w:p w:rsidR="00472FC3" w:rsidRDefault="00472FC3" w:rsidP="00615D55">
      <w:pPr>
        <w:jc w:val="both"/>
        <w:rPr>
          <w:bCs/>
        </w:rPr>
      </w:pPr>
      <w:r>
        <w:rPr>
          <w:bCs/>
        </w:rPr>
        <w:t>5.</w:t>
      </w:r>
      <w:r>
        <w:rPr>
          <w:bCs/>
        </w:rPr>
        <w:tab/>
      </w:r>
      <w:r w:rsidR="00072371">
        <w:rPr>
          <w:bCs/>
        </w:rPr>
        <w:t>The Company experienced multiple motor fai</w:t>
      </w:r>
      <w:r w:rsidR="00D41AD9">
        <w:rPr>
          <w:bCs/>
        </w:rPr>
        <w:t xml:space="preserve">lures which each failure was dealt with on a case by case basis and multiple agencies were consulted with each failure.  </w:t>
      </w:r>
      <w:r w:rsidR="00C20DBB">
        <w:rPr>
          <w:bCs/>
        </w:rPr>
        <w:t xml:space="preserve">The agencies Franklin Pump Motor, our Contractor (UCPD), and KEC were consulted, however, the Electric Coop in most cases failed to offer much </w:t>
      </w:r>
      <w:r w:rsidR="00045D79">
        <w:rPr>
          <w:bCs/>
        </w:rPr>
        <w:t xml:space="preserve">in </w:t>
      </w:r>
      <w:r w:rsidR="00C20DBB">
        <w:rPr>
          <w:bCs/>
        </w:rPr>
        <w:t>resolving the issue until the Company hired a Professional Engineering Firm</w:t>
      </w:r>
      <w:r w:rsidR="00045D79">
        <w:rPr>
          <w:bCs/>
        </w:rPr>
        <w:t xml:space="preserve"> who stated in their Observation Report, The current utility transformers are under sized</w:t>
      </w:r>
      <w:r w:rsidR="0090752B">
        <w:rPr>
          <w:bCs/>
        </w:rPr>
        <w:t>.  The Company understands AEI did not pin point the failure reason exactly, however, following the installation of larger pad transformers it currently appears</w:t>
      </w:r>
      <w:r w:rsidR="00B925A9">
        <w:rPr>
          <w:bCs/>
        </w:rPr>
        <w:t xml:space="preserve"> to the Company</w:t>
      </w:r>
      <w:r w:rsidR="0090752B">
        <w:rPr>
          <w:bCs/>
        </w:rPr>
        <w:t xml:space="preserve"> this was the biggest resolve to the failures. </w:t>
      </w:r>
    </w:p>
    <w:p w:rsidR="00B925A9" w:rsidRDefault="00B925A9" w:rsidP="00615D55">
      <w:pPr>
        <w:jc w:val="both"/>
        <w:rPr>
          <w:bCs/>
        </w:rPr>
      </w:pPr>
    </w:p>
    <w:p w:rsidR="00B925A9" w:rsidRPr="00615D55" w:rsidRDefault="00B925A9" w:rsidP="00615D55">
      <w:pPr>
        <w:jc w:val="both"/>
        <w:rPr>
          <w:bCs/>
        </w:rPr>
      </w:pPr>
      <w:r>
        <w:rPr>
          <w:bCs/>
        </w:rPr>
        <w:t>6.</w:t>
      </w:r>
      <w:r>
        <w:rPr>
          <w:bCs/>
        </w:rPr>
        <w:tab/>
        <w:t>The Company experienced one contamination issue in August of 2012 when Coliform was present.  The Company retested as instructed by IDEQ.</w:t>
      </w:r>
      <w:r w:rsidR="008E2B9D">
        <w:rPr>
          <w:bCs/>
        </w:rPr>
        <w:t xml:space="preserve"> August 10</w:t>
      </w:r>
      <w:r w:rsidR="008E2B9D" w:rsidRPr="008E2B9D">
        <w:rPr>
          <w:bCs/>
          <w:vertAlign w:val="superscript"/>
        </w:rPr>
        <w:t>th</w:t>
      </w:r>
      <w:r w:rsidR="008E2B9D">
        <w:rPr>
          <w:bCs/>
        </w:rPr>
        <w:t xml:space="preserve"> 2012 our final test returned absent.  See Exhibits 2, 3, 4, 5</w:t>
      </w:r>
      <w:r w:rsidR="00585A52">
        <w:rPr>
          <w:bCs/>
        </w:rPr>
        <w:t>, 6</w:t>
      </w:r>
      <w:r w:rsidR="008E2B9D">
        <w:rPr>
          <w:bCs/>
        </w:rPr>
        <w:t>.  Diamond Bar Customer</w:t>
      </w:r>
      <w:r w:rsidR="00585A52">
        <w:rPr>
          <w:bCs/>
        </w:rPr>
        <w:t>s</w:t>
      </w:r>
      <w:r w:rsidR="008E2B9D">
        <w:rPr>
          <w:bCs/>
        </w:rPr>
        <w:t xml:space="preserve"> were notified by phone </w:t>
      </w:r>
      <w:r w:rsidR="00585A52">
        <w:rPr>
          <w:bCs/>
        </w:rPr>
        <w:t xml:space="preserve">that </w:t>
      </w:r>
      <w:r w:rsidR="008E2B9D">
        <w:rPr>
          <w:bCs/>
        </w:rPr>
        <w:t xml:space="preserve">the Company had a Coliform test failure 8/6/12 and retesting was done </w:t>
      </w:r>
      <w:r w:rsidR="00585A52">
        <w:rPr>
          <w:bCs/>
        </w:rPr>
        <w:t>through August 10</w:t>
      </w:r>
      <w:r w:rsidR="00585A52" w:rsidRPr="00585A52">
        <w:rPr>
          <w:bCs/>
          <w:vertAlign w:val="superscript"/>
        </w:rPr>
        <w:t>th</w:t>
      </w:r>
      <w:r w:rsidR="00585A52">
        <w:rPr>
          <w:bCs/>
        </w:rPr>
        <w:t xml:space="preserve"> 2012 on into Sept 2012. The results was </w:t>
      </w:r>
      <w:r w:rsidR="008E2B9D">
        <w:rPr>
          <w:bCs/>
        </w:rPr>
        <w:t xml:space="preserve">Coliform </w:t>
      </w:r>
      <w:r w:rsidR="00585A52">
        <w:rPr>
          <w:bCs/>
        </w:rPr>
        <w:t>Absent and has remained absent to the current day.</w:t>
      </w:r>
    </w:p>
    <w:p w:rsidR="003279EF" w:rsidRDefault="007D2AF9" w:rsidP="00B21333">
      <w:pPr>
        <w:pStyle w:val="ListParagraph"/>
        <w:ind w:hanging="360"/>
        <w:jc w:val="both"/>
        <w:rPr>
          <w:bCs/>
        </w:rPr>
      </w:pPr>
      <w:r>
        <w:rPr>
          <w:bCs/>
        </w:rPr>
        <w:t>Witnessed by Robert N Turnipseed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07 July 2016</w:t>
      </w:r>
      <w:bookmarkStart w:id="0" w:name="_GoBack"/>
      <w:bookmarkEnd w:id="0"/>
    </w:p>
    <w:p w:rsidR="007D2AF9" w:rsidRPr="003279EF" w:rsidRDefault="007D2AF9" w:rsidP="00B21333">
      <w:pPr>
        <w:pStyle w:val="ListParagraph"/>
        <w:ind w:hanging="360"/>
        <w:jc w:val="both"/>
        <w:rPr>
          <w:bCs/>
        </w:rPr>
      </w:pPr>
    </w:p>
    <w:p w:rsidR="00A40941" w:rsidRPr="003279EF" w:rsidRDefault="00A40941" w:rsidP="00B21333">
      <w:pPr>
        <w:jc w:val="both"/>
      </w:pPr>
    </w:p>
    <w:sectPr w:rsidR="00A40941" w:rsidRPr="00327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65E98"/>
    <w:multiLevelType w:val="hybridMultilevel"/>
    <w:tmpl w:val="37D4123A"/>
    <w:lvl w:ilvl="0" w:tplc="A7D63C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41"/>
    <w:rsid w:val="00012954"/>
    <w:rsid w:val="00045D79"/>
    <w:rsid w:val="00072371"/>
    <w:rsid w:val="000D670F"/>
    <w:rsid w:val="00187F60"/>
    <w:rsid w:val="00231497"/>
    <w:rsid w:val="002E3D0D"/>
    <w:rsid w:val="003279EF"/>
    <w:rsid w:val="00472FC3"/>
    <w:rsid w:val="00511FC5"/>
    <w:rsid w:val="00585A52"/>
    <w:rsid w:val="00615D55"/>
    <w:rsid w:val="006C0A25"/>
    <w:rsid w:val="0079795F"/>
    <w:rsid w:val="007D2AF9"/>
    <w:rsid w:val="008E2B9D"/>
    <w:rsid w:val="0090752B"/>
    <w:rsid w:val="00A40941"/>
    <w:rsid w:val="00B21333"/>
    <w:rsid w:val="00B925A9"/>
    <w:rsid w:val="00BC4328"/>
    <w:rsid w:val="00C20DBB"/>
    <w:rsid w:val="00D4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7C192-7783-46B2-A17C-2DE6AE94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941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</dc:creator>
  <cp:keywords/>
  <dc:description/>
  <cp:lastModifiedBy>Christy</cp:lastModifiedBy>
  <cp:revision>3</cp:revision>
  <dcterms:created xsi:type="dcterms:W3CDTF">2016-07-07T17:40:00Z</dcterms:created>
  <dcterms:modified xsi:type="dcterms:W3CDTF">2016-07-07T23:15:00Z</dcterms:modified>
</cp:coreProperties>
</file>